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hint="eastAsia"/>
          <w:sz w:val="32"/>
          <w:szCs w:val="32"/>
          <w:lang w:val="en-US" w:eastAsia="zh-CN"/>
        </w:rPr>
      </w:pPr>
      <w:bookmarkStart w:id="0" w:name="_GoBack"/>
      <w:r>
        <w:rPr>
          <w:rFonts w:hint="eastAsia"/>
          <w:sz w:val="32"/>
          <w:szCs w:val="32"/>
          <w:lang w:val="en-US" w:eastAsia="zh-CN"/>
        </w:rPr>
        <w:t>雅安市人民医院云净血液透析管理系统年费服务采购需求</w:t>
      </w:r>
    </w:p>
    <w:bookmarkEnd w:id="0"/>
    <w:p>
      <w:p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一、</w:t>
      </w:r>
      <w:r>
        <w:rPr>
          <w:rFonts w:hint="eastAsia" w:asciiTheme="minorEastAsia" w:hAnsiTheme="minorEastAsia" w:cstheme="minorEastAsia"/>
          <w:b/>
          <w:szCs w:val="21"/>
        </w:rPr>
        <w:t>软件功能列表</w:t>
      </w:r>
      <w:r>
        <w:rPr>
          <w:rFonts w:hint="eastAsia" w:ascii="宋体" w:hAnsi="宋体" w:eastAsia="宋体" w:cs="宋体"/>
          <w:sz w:val="28"/>
          <w:szCs w:val="28"/>
          <w:lang w:val="en-US" w:eastAsia="zh-CN"/>
        </w:rPr>
        <w:t>：</w:t>
      </w:r>
    </w:p>
    <w:p>
      <w:pPr>
        <w:spacing w:line="400" w:lineRule="exact"/>
        <w:rPr>
          <w:rFonts w:asciiTheme="minorEastAsia" w:hAnsiTheme="minorEastAsia" w:cstheme="minorEastAsia"/>
          <w:b/>
          <w:szCs w:val="21"/>
        </w:rPr>
      </w:pPr>
    </w:p>
    <w:tbl>
      <w:tblPr>
        <w:tblStyle w:val="3"/>
        <w:tblW w:w="836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6"/>
        <w:gridCol w:w="7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1276" w:type="dxa"/>
            <w:tcBorders>
              <w:bottom w:val="single" w:color="auto" w:sz="4" w:space="0"/>
            </w:tcBorders>
            <w:shd w:val="clear" w:color="auto" w:fill="auto"/>
            <w:vAlign w:val="center"/>
          </w:tcPr>
          <w:p>
            <w:pPr>
              <w:spacing w:line="400" w:lineRule="exact"/>
              <w:rPr>
                <w:b/>
                <w:szCs w:val="21"/>
              </w:rPr>
            </w:pPr>
            <w:r>
              <w:rPr>
                <w:rFonts w:hint="eastAsia"/>
                <w:b/>
                <w:szCs w:val="21"/>
              </w:rPr>
              <w:t>功能模块</w:t>
            </w:r>
          </w:p>
        </w:tc>
        <w:tc>
          <w:tcPr>
            <w:tcW w:w="7088" w:type="dxa"/>
            <w:tcBorders>
              <w:bottom w:val="single" w:color="auto" w:sz="4" w:space="0"/>
            </w:tcBorders>
            <w:shd w:val="clear" w:color="auto" w:fill="auto"/>
            <w:vAlign w:val="center"/>
          </w:tcPr>
          <w:p>
            <w:pPr>
              <w:spacing w:line="400" w:lineRule="exact"/>
              <w:rPr>
                <w:szCs w:val="21"/>
              </w:rPr>
            </w:pPr>
            <w:r>
              <w:rPr>
                <w:rFonts w:hint="eastAsia"/>
                <w:szCs w:val="21"/>
              </w:rPr>
              <w:t>简要描述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6" w:type="dxa"/>
            <w:shd w:val="clear" w:color="auto" w:fill="auto"/>
            <w:vAlign w:val="center"/>
          </w:tcPr>
          <w:p>
            <w:pPr>
              <w:spacing w:line="400" w:lineRule="exact"/>
              <w:rPr>
                <w:b/>
                <w:szCs w:val="21"/>
              </w:rPr>
            </w:pPr>
            <w:r>
              <w:rPr>
                <w:rFonts w:hint="eastAsia"/>
                <w:b/>
                <w:szCs w:val="21"/>
              </w:rPr>
              <w:t>签到称重</w:t>
            </w:r>
          </w:p>
        </w:tc>
        <w:tc>
          <w:tcPr>
            <w:tcW w:w="7088" w:type="dxa"/>
            <w:shd w:val="clear" w:color="auto" w:fill="auto"/>
            <w:vAlign w:val="center"/>
          </w:tcPr>
          <w:p>
            <w:pPr>
              <w:spacing w:line="400" w:lineRule="exact"/>
              <w:rPr>
                <w:szCs w:val="21"/>
              </w:rPr>
            </w:pPr>
            <w:r>
              <w:rPr>
                <w:rFonts w:hint="eastAsia"/>
                <w:szCs w:val="21"/>
              </w:rPr>
              <w:t>用于患者自助签到、称重，自助测量血压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vMerge w:val="restart"/>
            <w:shd w:val="clear" w:color="auto" w:fill="auto"/>
            <w:vAlign w:val="center"/>
          </w:tcPr>
          <w:p>
            <w:pPr>
              <w:spacing w:line="400" w:lineRule="exact"/>
              <w:rPr>
                <w:b/>
                <w:szCs w:val="21"/>
              </w:rPr>
            </w:pPr>
            <w:r>
              <w:rPr>
                <w:rFonts w:hint="eastAsia"/>
                <w:b/>
                <w:szCs w:val="21"/>
              </w:rPr>
              <w:t>排班管理</w:t>
            </w:r>
          </w:p>
        </w:tc>
        <w:tc>
          <w:tcPr>
            <w:tcW w:w="7088" w:type="dxa"/>
            <w:shd w:val="clear" w:color="auto" w:fill="auto"/>
            <w:vAlign w:val="center"/>
          </w:tcPr>
          <w:p>
            <w:pPr>
              <w:spacing w:line="400" w:lineRule="exact"/>
              <w:rPr>
                <w:szCs w:val="21"/>
              </w:rPr>
            </w:pPr>
            <w:r>
              <w:rPr>
                <w:rFonts w:hint="eastAsia"/>
                <w:szCs w:val="21"/>
              </w:rPr>
              <w:t>预约排班：  日常患者的排班管理</w:t>
            </w:r>
            <w:r>
              <w:rPr>
                <w:szCs w:val="21"/>
              </w:rPr>
              <w:t>，</w:t>
            </w:r>
            <w:r>
              <w:rPr>
                <w:rFonts w:hint="eastAsia"/>
                <w:szCs w:val="21"/>
              </w:rPr>
              <w:t>班次查找，数量统计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vMerge w:val="continue"/>
            <w:shd w:val="clear" w:color="auto" w:fill="auto"/>
            <w:vAlign w:val="center"/>
          </w:tcPr>
          <w:p>
            <w:pPr>
              <w:spacing w:line="400" w:lineRule="exact"/>
              <w:rPr>
                <w:b/>
                <w:szCs w:val="21"/>
              </w:rPr>
            </w:pPr>
          </w:p>
        </w:tc>
        <w:tc>
          <w:tcPr>
            <w:tcW w:w="7088" w:type="dxa"/>
            <w:shd w:val="clear" w:color="auto" w:fill="auto"/>
            <w:vAlign w:val="center"/>
          </w:tcPr>
          <w:p>
            <w:pPr>
              <w:spacing w:line="400" w:lineRule="exact"/>
              <w:rPr>
                <w:szCs w:val="21"/>
              </w:rPr>
            </w:pPr>
            <w:r>
              <w:rPr>
                <w:rFonts w:hint="eastAsia"/>
                <w:szCs w:val="21"/>
              </w:rPr>
              <w:t>排班模板：  给患者制定长期排班方案，统计预算方案等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vMerge w:val="continue"/>
            <w:shd w:val="clear" w:color="auto" w:fill="auto"/>
            <w:vAlign w:val="center"/>
          </w:tcPr>
          <w:p>
            <w:pPr>
              <w:spacing w:line="400" w:lineRule="exact"/>
              <w:rPr>
                <w:b/>
                <w:szCs w:val="21"/>
              </w:rPr>
            </w:pPr>
          </w:p>
        </w:tc>
        <w:tc>
          <w:tcPr>
            <w:tcW w:w="7088" w:type="dxa"/>
            <w:shd w:val="clear" w:color="auto" w:fill="auto"/>
            <w:vAlign w:val="center"/>
          </w:tcPr>
          <w:p>
            <w:pPr>
              <w:spacing w:line="400" w:lineRule="exact"/>
              <w:rPr>
                <w:szCs w:val="21"/>
              </w:rPr>
            </w:pPr>
            <w:r>
              <w:rPr>
                <w:rFonts w:hint="eastAsia"/>
                <w:szCs w:val="21"/>
              </w:rPr>
              <w:t>治疗签到：  查看当天患者的签到称重情况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vMerge w:val="restart"/>
            <w:shd w:val="clear" w:color="auto" w:fill="auto"/>
            <w:vAlign w:val="center"/>
          </w:tcPr>
          <w:p>
            <w:pPr>
              <w:spacing w:line="400" w:lineRule="exact"/>
              <w:rPr>
                <w:b/>
                <w:szCs w:val="21"/>
              </w:rPr>
            </w:pPr>
            <w:r>
              <w:rPr>
                <w:rFonts w:hint="eastAsia"/>
                <w:b/>
                <w:szCs w:val="21"/>
              </w:rPr>
              <w:t>透析记录</w:t>
            </w:r>
          </w:p>
        </w:tc>
        <w:tc>
          <w:tcPr>
            <w:tcW w:w="7088" w:type="dxa"/>
            <w:shd w:val="clear" w:color="auto" w:fill="auto"/>
            <w:vAlign w:val="center"/>
          </w:tcPr>
          <w:p>
            <w:pPr>
              <w:spacing w:line="400" w:lineRule="exact"/>
              <w:rPr>
                <w:szCs w:val="21"/>
              </w:rPr>
            </w:pPr>
            <w:r>
              <w:rPr>
                <w:rFonts w:hint="eastAsia"/>
                <w:szCs w:val="21"/>
              </w:rPr>
              <w:t>患者无纸化接诊，打印电子透析单、打印历史透析单、可自动导入病程记录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vMerge w:val="continue"/>
            <w:shd w:val="clear" w:color="auto" w:fill="auto"/>
            <w:vAlign w:val="center"/>
          </w:tcPr>
          <w:p>
            <w:pPr>
              <w:spacing w:line="400" w:lineRule="exact"/>
              <w:rPr>
                <w:b/>
                <w:szCs w:val="21"/>
              </w:rPr>
            </w:pPr>
          </w:p>
        </w:tc>
        <w:tc>
          <w:tcPr>
            <w:tcW w:w="7088" w:type="dxa"/>
            <w:shd w:val="clear" w:color="auto" w:fill="auto"/>
            <w:vAlign w:val="center"/>
          </w:tcPr>
          <w:p>
            <w:pPr>
              <w:spacing w:line="400" w:lineRule="exact"/>
              <w:rPr>
                <w:szCs w:val="21"/>
              </w:rPr>
            </w:pPr>
            <w:r>
              <w:rPr>
                <w:rFonts w:hint="eastAsia"/>
                <w:szCs w:val="21"/>
              </w:rPr>
              <w:t>今日医嘱：当日所有医嘱单汇总及打印、打印医嘱标签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vMerge w:val="continue"/>
            <w:shd w:val="clear" w:color="auto" w:fill="auto"/>
            <w:vAlign w:val="center"/>
          </w:tcPr>
          <w:p>
            <w:pPr>
              <w:spacing w:line="400" w:lineRule="exact"/>
              <w:rPr>
                <w:b/>
                <w:szCs w:val="21"/>
              </w:rPr>
            </w:pPr>
          </w:p>
        </w:tc>
        <w:tc>
          <w:tcPr>
            <w:tcW w:w="7088" w:type="dxa"/>
            <w:shd w:val="clear" w:color="auto" w:fill="auto"/>
            <w:vAlign w:val="center"/>
          </w:tcPr>
          <w:p>
            <w:pPr>
              <w:spacing w:line="400" w:lineRule="exact"/>
              <w:rPr>
                <w:szCs w:val="21"/>
              </w:rPr>
            </w:pPr>
            <w:r>
              <w:rPr>
                <w:rFonts w:hint="eastAsia"/>
                <w:szCs w:val="21"/>
              </w:rPr>
              <w:t>透前准备：  查看当天透析患者透析器、抗凝剂、用药准备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vMerge w:val="continue"/>
            <w:shd w:val="clear" w:color="auto" w:fill="auto"/>
            <w:vAlign w:val="center"/>
          </w:tcPr>
          <w:p>
            <w:pPr>
              <w:spacing w:line="400" w:lineRule="exact"/>
              <w:rPr>
                <w:b/>
                <w:szCs w:val="21"/>
              </w:rPr>
            </w:pPr>
          </w:p>
        </w:tc>
        <w:tc>
          <w:tcPr>
            <w:tcW w:w="7088" w:type="dxa"/>
            <w:shd w:val="clear" w:color="auto" w:fill="auto"/>
            <w:vAlign w:val="center"/>
          </w:tcPr>
          <w:p>
            <w:pPr>
              <w:spacing w:line="400" w:lineRule="exact"/>
              <w:rPr>
                <w:szCs w:val="21"/>
              </w:rPr>
            </w:pPr>
            <w:r>
              <w:rPr>
                <w:rFonts w:hint="eastAsia"/>
                <w:szCs w:val="21"/>
              </w:rPr>
              <w:t>交班日志： 具有交班功能，可以快速查看今日透析状况，并发症状况等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shd w:val="clear" w:color="auto" w:fill="auto"/>
            <w:vAlign w:val="center"/>
          </w:tcPr>
          <w:p>
            <w:pPr>
              <w:spacing w:line="400" w:lineRule="exact"/>
              <w:rPr>
                <w:b/>
                <w:szCs w:val="21"/>
              </w:rPr>
            </w:pPr>
            <w:r>
              <w:rPr>
                <w:rFonts w:hint="eastAsia"/>
                <w:b/>
                <w:szCs w:val="21"/>
              </w:rPr>
              <w:t>库存管理</w:t>
            </w:r>
          </w:p>
        </w:tc>
        <w:tc>
          <w:tcPr>
            <w:tcW w:w="7088" w:type="dxa"/>
            <w:shd w:val="clear" w:color="auto" w:fill="auto"/>
            <w:vAlign w:val="center"/>
          </w:tcPr>
          <w:p>
            <w:pPr>
              <w:spacing w:line="400" w:lineRule="exact"/>
              <w:rPr>
                <w:szCs w:val="21"/>
              </w:rPr>
            </w:pPr>
            <w:r>
              <w:rPr>
                <w:rFonts w:hint="eastAsia"/>
                <w:szCs w:val="21"/>
              </w:rPr>
              <w:t>可设置出库套餐，自动关联耗材出库，出入库登记，库存盘点，耗材使用查询、出入库统计等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shd w:val="clear" w:color="auto" w:fill="auto"/>
            <w:vAlign w:val="center"/>
          </w:tcPr>
          <w:p>
            <w:pPr>
              <w:spacing w:line="400" w:lineRule="exact"/>
              <w:rPr>
                <w:b/>
                <w:szCs w:val="21"/>
              </w:rPr>
            </w:pPr>
            <w:r>
              <w:rPr>
                <w:rFonts w:hint="eastAsia"/>
                <w:b/>
                <w:szCs w:val="21"/>
              </w:rPr>
              <w:t>患者管理</w:t>
            </w:r>
          </w:p>
        </w:tc>
        <w:tc>
          <w:tcPr>
            <w:tcW w:w="7088" w:type="dxa"/>
            <w:shd w:val="clear" w:color="auto" w:fill="auto"/>
            <w:vAlign w:val="center"/>
          </w:tcPr>
          <w:p>
            <w:pPr>
              <w:spacing w:line="400" w:lineRule="exact"/>
              <w:rPr>
                <w:szCs w:val="21"/>
              </w:rPr>
            </w:pPr>
            <w:r>
              <w:rPr>
                <w:rFonts w:hint="eastAsia"/>
                <w:szCs w:val="21"/>
              </w:rPr>
              <w:t>患者基本信息管理，诊断、病程记录、手术记录</w:t>
            </w:r>
            <w:r>
              <w:rPr>
                <w:szCs w:val="21"/>
              </w:rPr>
              <w:t>、长期医嘱、</w:t>
            </w:r>
            <w:r>
              <w:rPr>
                <w:rFonts w:hint="eastAsia"/>
                <w:szCs w:val="21"/>
              </w:rPr>
              <w:t>透析方案、检验结果录入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shd w:val="clear" w:color="auto" w:fill="auto"/>
            <w:vAlign w:val="center"/>
          </w:tcPr>
          <w:p>
            <w:pPr>
              <w:spacing w:line="400" w:lineRule="exact"/>
              <w:rPr>
                <w:b/>
                <w:szCs w:val="21"/>
              </w:rPr>
            </w:pPr>
            <w:r>
              <w:rPr>
                <w:rFonts w:hint="eastAsia"/>
                <w:b/>
                <w:szCs w:val="21"/>
              </w:rPr>
              <w:t>费用管理</w:t>
            </w:r>
          </w:p>
        </w:tc>
        <w:tc>
          <w:tcPr>
            <w:tcW w:w="7088" w:type="dxa"/>
            <w:shd w:val="clear" w:color="auto" w:fill="auto"/>
            <w:vAlign w:val="center"/>
          </w:tcPr>
          <w:p>
            <w:pPr>
              <w:spacing w:line="400" w:lineRule="exact"/>
              <w:rPr>
                <w:szCs w:val="21"/>
              </w:rPr>
            </w:pPr>
            <w:r>
              <w:rPr>
                <w:rFonts w:hint="eastAsia"/>
                <w:szCs w:val="21"/>
              </w:rPr>
              <w:t>透析费用登记和预警、自备药登记和预警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shd w:val="clear" w:color="auto" w:fill="auto"/>
            <w:vAlign w:val="center"/>
          </w:tcPr>
          <w:p>
            <w:pPr>
              <w:spacing w:line="400" w:lineRule="exact"/>
              <w:rPr>
                <w:b/>
                <w:szCs w:val="21"/>
              </w:rPr>
            </w:pPr>
            <w:r>
              <w:rPr>
                <w:rFonts w:hint="eastAsia"/>
                <w:b/>
                <w:szCs w:val="21"/>
              </w:rPr>
              <w:t>设备管理</w:t>
            </w:r>
          </w:p>
        </w:tc>
        <w:tc>
          <w:tcPr>
            <w:tcW w:w="7088" w:type="dxa"/>
            <w:shd w:val="clear" w:color="auto" w:fill="auto"/>
            <w:vAlign w:val="center"/>
          </w:tcPr>
          <w:p>
            <w:pPr>
              <w:spacing w:line="400" w:lineRule="exact"/>
              <w:rPr>
                <w:szCs w:val="21"/>
              </w:rPr>
            </w:pPr>
            <w:r>
              <w:rPr>
                <w:rFonts w:hint="eastAsia"/>
                <w:szCs w:val="21"/>
              </w:rPr>
              <w:t>透析机分区和编号设置、设备的日常使用登记、维修登记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shd w:val="clear" w:color="auto" w:fill="auto"/>
            <w:vAlign w:val="center"/>
          </w:tcPr>
          <w:p>
            <w:pPr>
              <w:spacing w:line="400" w:lineRule="exact"/>
              <w:rPr>
                <w:b/>
                <w:szCs w:val="21"/>
              </w:rPr>
            </w:pPr>
            <w:r>
              <w:rPr>
                <w:rFonts w:hint="eastAsia"/>
                <w:b/>
                <w:szCs w:val="21"/>
              </w:rPr>
              <w:t>科室质控</w:t>
            </w:r>
          </w:p>
        </w:tc>
        <w:tc>
          <w:tcPr>
            <w:tcW w:w="7088" w:type="dxa"/>
            <w:shd w:val="clear" w:color="auto" w:fill="auto"/>
            <w:vAlign w:val="center"/>
          </w:tcPr>
          <w:p>
            <w:pPr>
              <w:spacing w:line="400" w:lineRule="exact"/>
              <w:rPr>
                <w:szCs w:val="21"/>
              </w:rPr>
            </w:pPr>
            <w:r>
              <w:rPr>
                <w:rFonts w:hint="eastAsia"/>
                <w:szCs w:val="21"/>
              </w:rPr>
              <w:t>查看透析报表，工作量报表，耗材使用报表，药品报表、并发症统计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shd w:val="clear" w:color="auto" w:fill="auto"/>
            <w:vAlign w:val="center"/>
          </w:tcPr>
          <w:p>
            <w:pPr>
              <w:spacing w:line="400" w:lineRule="exact"/>
              <w:rPr>
                <w:b/>
                <w:szCs w:val="21"/>
              </w:rPr>
            </w:pPr>
            <w:r>
              <w:rPr>
                <w:rFonts w:hint="eastAsia"/>
                <w:b/>
                <w:szCs w:val="21"/>
              </w:rPr>
              <w:t>系统设置</w:t>
            </w:r>
          </w:p>
        </w:tc>
        <w:tc>
          <w:tcPr>
            <w:tcW w:w="7088" w:type="dxa"/>
            <w:shd w:val="clear" w:color="auto" w:fill="auto"/>
            <w:vAlign w:val="center"/>
          </w:tcPr>
          <w:p>
            <w:pPr>
              <w:spacing w:line="400" w:lineRule="exact"/>
              <w:rPr>
                <w:szCs w:val="21"/>
              </w:rPr>
            </w:pPr>
            <w:r>
              <w:rPr>
                <w:rFonts w:hint="eastAsia"/>
                <w:szCs w:val="21"/>
              </w:rPr>
              <w:t>账号管理、透析方案模板设定、医嘱模板设定</w:t>
            </w:r>
          </w:p>
          <w:p>
            <w:pPr>
              <w:spacing w:line="400" w:lineRule="exact"/>
              <w:rPr>
                <w:szCs w:val="21"/>
              </w:rPr>
            </w:pPr>
            <w:r>
              <w:rPr>
                <w:rFonts w:hint="eastAsia"/>
                <w:szCs w:val="21"/>
              </w:rPr>
              <w:t>药典管理、透析小结模板、各类症状、处理等模板设定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364" w:type="dxa"/>
            <w:gridSpan w:val="2"/>
            <w:shd w:val="clear" w:color="auto" w:fill="auto"/>
            <w:vAlign w:val="center"/>
          </w:tcPr>
          <w:p>
            <w:pPr>
              <w:spacing w:line="400" w:lineRule="exact"/>
              <w:rPr>
                <w:szCs w:val="21"/>
              </w:rPr>
            </w:pPr>
            <w:r>
              <w:rPr>
                <w:rFonts w:hint="eastAsia"/>
                <w:b/>
                <w:szCs w:val="21"/>
              </w:rPr>
              <w:t>平板端和医护手机端：</w:t>
            </w:r>
            <w:r>
              <w:rPr>
                <w:rFonts w:hint="eastAsia"/>
                <w:szCs w:val="21"/>
              </w:rPr>
              <w:t xml:space="preserve">  可以无纸化记录患者日常透析的各种流程信息、包括透析记录、透析处方、透前透后评估、监测记录</w:t>
            </w:r>
          </w:p>
        </w:tc>
      </w:tr>
    </w:tbl>
    <w:p>
      <w:pPr>
        <w:jc w:val="center"/>
        <w:rPr>
          <w:rFonts w:hint="eastAsia" w:ascii="宋体" w:hAnsi="宋体" w:eastAsia="宋体" w:cs="宋体"/>
          <w:sz w:val="32"/>
          <w:szCs w:val="32"/>
          <w:lang w:val="en-US" w:eastAsia="zh-CN"/>
        </w:rPr>
      </w:pPr>
    </w:p>
    <w:p>
      <w:pPr>
        <w:numPr>
          <w:ilvl w:val="0"/>
          <w:numId w:val="2"/>
        </w:numPr>
        <w:ind w:firstLine="321" w:firstLineChars="100"/>
        <w:jc w:val="both"/>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服务要求</w:t>
      </w:r>
    </w:p>
    <w:p>
      <w:pPr>
        <w:numPr>
          <w:ilvl w:val="0"/>
          <w:numId w:val="0"/>
        </w:numPr>
        <w:spacing w:line="360" w:lineRule="auto"/>
        <w:ind w:leftChars="0" w:firstLine="420" w:firstLineChars="0"/>
        <w:jc w:val="both"/>
        <w:rPr>
          <w:rFonts w:hint="eastAsia" w:ascii="宋体" w:hAnsi="宋体" w:eastAsia="宋体" w:cs="宋体"/>
          <w:b w:val="0"/>
          <w:bCs w:val="0"/>
          <w:sz w:val="24"/>
          <w:szCs w:val="32"/>
          <w:lang w:val="en-US" w:eastAsia="zh-CN"/>
        </w:rPr>
      </w:pPr>
      <w:r>
        <w:rPr>
          <w:rFonts w:hint="eastAsia" w:ascii="宋体" w:hAnsi="宋体" w:eastAsia="宋体" w:cs="宋体"/>
          <w:b w:val="0"/>
          <w:bCs w:val="0"/>
          <w:sz w:val="24"/>
          <w:szCs w:val="32"/>
          <w:lang w:val="en-US" w:eastAsia="zh-CN"/>
        </w:rPr>
        <w:t>1、提供技术人员进行专人专项技术服务。</w:t>
      </w:r>
    </w:p>
    <w:p>
      <w:pPr>
        <w:numPr>
          <w:ilvl w:val="0"/>
          <w:numId w:val="0"/>
        </w:numPr>
        <w:spacing w:line="360" w:lineRule="auto"/>
        <w:ind w:leftChars="0" w:firstLine="420" w:firstLineChars="0"/>
        <w:jc w:val="both"/>
        <w:rPr>
          <w:rFonts w:hint="eastAsia" w:ascii="宋体" w:hAnsi="宋体" w:eastAsia="宋体" w:cs="宋体"/>
          <w:b w:val="0"/>
          <w:bCs w:val="0"/>
          <w:sz w:val="24"/>
          <w:szCs w:val="32"/>
          <w:lang w:val="en-US" w:eastAsia="zh-CN"/>
        </w:rPr>
      </w:pPr>
      <w:r>
        <w:rPr>
          <w:rFonts w:hint="eastAsia" w:ascii="宋体" w:hAnsi="宋体" w:eastAsia="宋体" w:cs="宋体"/>
          <w:b w:val="0"/>
          <w:bCs w:val="0"/>
          <w:sz w:val="24"/>
          <w:szCs w:val="32"/>
          <w:lang w:val="en-US" w:eastAsia="zh-CN"/>
        </w:rPr>
        <w:t>2、负责软件的日常维护的专人，需及时响应并解决各类问题。</w:t>
      </w:r>
    </w:p>
    <w:p>
      <w:pPr>
        <w:numPr>
          <w:ilvl w:val="0"/>
          <w:numId w:val="0"/>
        </w:numPr>
        <w:spacing w:line="360" w:lineRule="auto"/>
        <w:ind w:leftChars="0" w:firstLine="420" w:firstLineChars="0"/>
        <w:jc w:val="both"/>
        <w:rPr>
          <w:rFonts w:hint="eastAsia" w:ascii="宋体" w:hAnsi="宋体" w:eastAsia="宋体" w:cs="宋体"/>
          <w:b w:val="0"/>
          <w:bCs w:val="0"/>
          <w:sz w:val="24"/>
          <w:szCs w:val="32"/>
          <w:lang w:val="en-US" w:eastAsia="zh-CN"/>
        </w:rPr>
      </w:pPr>
      <w:r>
        <w:rPr>
          <w:rFonts w:hint="eastAsia" w:ascii="宋体" w:hAnsi="宋体" w:eastAsia="宋体" w:cs="宋体"/>
          <w:b w:val="0"/>
          <w:bCs w:val="0"/>
          <w:sz w:val="24"/>
          <w:szCs w:val="32"/>
          <w:lang w:val="en-US" w:eastAsia="zh-CN"/>
        </w:rPr>
        <w:t>3、技术人员无法解决的需求或者问题，公司需提供相应的支持，不得以任何理由推诿、拖延。</w:t>
      </w:r>
    </w:p>
    <w:p>
      <w:pPr>
        <w:numPr>
          <w:ilvl w:val="0"/>
          <w:numId w:val="0"/>
        </w:numPr>
        <w:spacing w:line="360" w:lineRule="auto"/>
        <w:ind w:leftChars="0" w:firstLine="420" w:firstLineChars="0"/>
        <w:jc w:val="both"/>
        <w:rPr>
          <w:rFonts w:hint="eastAsia" w:ascii="宋体" w:hAnsi="宋体" w:eastAsia="宋体" w:cs="宋体"/>
          <w:b w:val="0"/>
          <w:bCs w:val="0"/>
          <w:sz w:val="24"/>
          <w:szCs w:val="32"/>
          <w:lang w:val="en-US" w:eastAsia="zh-CN"/>
        </w:rPr>
      </w:pPr>
      <w:r>
        <w:rPr>
          <w:rFonts w:hint="eastAsia" w:ascii="宋体" w:hAnsi="宋体" w:eastAsia="宋体" w:cs="宋体"/>
          <w:b w:val="0"/>
          <w:bCs w:val="0"/>
          <w:sz w:val="24"/>
          <w:szCs w:val="32"/>
          <w:lang w:val="en-US" w:eastAsia="zh-CN"/>
        </w:rPr>
        <w:t>4、在服务期内应当根据医院要求提供相关产品所规定的各类技术培训服务，包括但不限于业务及功能培训等。</w:t>
      </w:r>
    </w:p>
    <w:p>
      <w:pPr>
        <w:numPr>
          <w:ilvl w:val="0"/>
          <w:numId w:val="0"/>
        </w:numPr>
        <w:spacing w:line="360" w:lineRule="auto"/>
        <w:ind w:leftChars="0" w:firstLine="420" w:firstLineChars="0"/>
        <w:jc w:val="both"/>
        <w:rPr>
          <w:rFonts w:hint="eastAsia" w:ascii="宋体" w:hAnsi="宋体" w:eastAsia="宋体" w:cs="宋体"/>
          <w:b w:val="0"/>
          <w:bCs w:val="0"/>
          <w:sz w:val="24"/>
          <w:szCs w:val="32"/>
          <w:lang w:val="en-US" w:eastAsia="zh-CN"/>
        </w:rPr>
      </w:pPr>
      <w:r>
        <w:rPr>
          <w:rFonts w:hint="eastAsia" w:ascii="宋体" w:hAnsi="宋体" w:eastAsia="宋体" w:cs="宋体"/>
          <w:b w:val="0"/>
          <w:bCs w:val="0"/>
          <w:sz w:val="24"/>
          <w:szCs w:val="32"/>
          <w:lang w:val="en-US" w:eastAsia="zh-CN"/>
        </w:rPr>
        <w:t xml:space="preserve"> 5、确保服务过程中所接触到的医院数据的安全与保密性，不得泄露和用于其它用途。</w:t>
      </w:r>
    </w:p>
    <w:p>
      <w:pPr>
        <w:pStyle w:val="2"/>
        <w:rPr>
          <w:rFonts w:hint="eastAsia"/>
          <w:lang w:val="en-US" w:eastAsia="zh-CN"/>
        </w:rPr>
      </w:pPr>
    </w:p>
    <w:p>
      <w:pPr>
        <w:numPr>
          <w:ilvl w:val="0"/>
          <w:numId w:val="0"/>
        </w:numPr>
        <w:spacing w:line="360" w:lineRule="auto"/>
        <w:ind w:leftChars="0"/>
        <w:jc w:val="both"/>
        <w:rPr>
          <w:rFonts w:hint="eastAsia" w:ascii="宋体" w:hAnsi="宋体" w:eastAsia="宋体" w:cs="宋体"/>
          <w:b/>
          <w:bCs/>
          <w:sz w:val="28"/>
          <w:szCs w:val="36"/>
          <w:lang w:val="en-US" w:eastAsia="zh-CN"/>
        </w:rPr>
      </w:pPr>
      <w:r>
        <w:rPr>
          <w:rFonts w:hint="eastAsia" w:ascii="宋体" w:hAnsi="宋体" w:eastAsia="宋体" w:cs="宋体"/>
          <w:sz w:val="28"/>
          <w:szCs w:val="28"/>
          <w:lang w:val="en-US" w:eastAsia="zh-CN"/>
        </w:rPr>
        <w:t>三、</w:t>
      </w:r>
      <w:r>
        <w:rPr>
          <w:rFonts w:hint="eastAsia" w:ascii="宋体" w:hAnsi="宋体" w:eastAsia="宋体" w:cs="宋体"/>
          <w:b/>
          <w:bCs/>
          <w:sz w:val="28"/>
          <w:szCs w:val="36"/>
          <w:lang w:val="en-US" w:eastAsia="zh-CN"/>
        </w:rPr>
        <w:t>服务期限</w:t>
      </w:r>
    </w:p>
    <w:p>
      <w:pPr>
        <w:numPr>
          <w:ilvl w:val="0"/>
          <w:numId w:val="0"/>
        </w:numPr>
        <w:spacing w:line="360" w:lineRule="auto"/>
        <w:ind w:leftChars="0" w:firstLine="420" w:firstLineChars="0"/>
        <w:jc w:val="both"/>
        <w:rPr>
          <w:rFonts w:hint="eastAsia" w:ascii="宋体" w:hAnsi="宋体" w:eastAsia="宋体" w:cs="宋体"/>
          <w:b w:val="0"/>
          <w:bCs w:val="0"/>
          <w:sz w:val="24"/>
          <w:szCs w:val="32"/>
          <w:lang w:val="en-US" w:eastAsia="zh-CN"/>
        </w:rPr>
      </w:pPr>
      <w:r>
        <w:rPr>
          <w:rFonts w:hint="eastAsia" w:ascii="宋体" w:hAnsi="宋体" w:eastAsia="宋体" w:cs="宋体"/>
          <w:b w:val="0"/>
          <w:bCs w:val="0"/>
          <w:sz w:val="24"/>
          <w:szCs w:val="32"/>
          <w:lang w:val="en-US" w:eastAsia="zh-CN"/>
        </w:rPr>
        <w:t>服务期限为合同签定生效之日起二年，合同一年一签，</w:t>
      </w:r>
      <w:r>
        <w:rPr>
          <w:rFonts w:hint="eastAsia" w:ascii="宋体" w:hAnsi="宋体" w:eastAsia="宋体" w:cs="宋体"/>
          <w:sz w:val="24"/>
          <w:lang w:eastAsia="zh-CN"/>
        </w:rPr>
        <w:t>每年</w:t>
      </w:r>
      <w:r>
        <w:rPr>
          <w:rFonts w:hint="eastAsia" w:ascii="宋体" w:hAnsi="宋体" w:eastAsia="宋体" w:cs="宋体"/>
          <w:sz w:val="24"/>
          <w:lang w:val="en-US" w:eastAsia="zh-CN"/>
        </w:rPr>
        <w:t>需求科室及主管科室</w:t>
      </w:r>
      <w:r>
        <w:rPr>
          <w:rFonts w:hint="eastAsia" w:ascii="宋体" w:hAnsi="宋体" w:eastAsia="宋体" w:cs="宋体"/>
          <w:sz w:val="24"/>
          <w:lang w:eastAsia="zh-CN"/>
        </w:rPr>
        <w:t>对</w:t>
      </w:r>
      <w:r>
        <w:rPr>
          <w:rFonts w:hint="eastAsia" w:ascii="宋体" w:hAnsi="宋体" w:eastAsia="宋体" w:cs="宋体"/>
          <w:sz w:val="24"/>
          <w:lang w:val="en-US" w:eastAsia="zh-CN"/>
        </w:rPr>
        <w:t>中标</w:t>
      </w:r>
      <w:r>
        <w:rPr>
          <w:rFonts w:hint="eastAsia" w:ascii="宋体" w:hAnsi="宋体" w:eastAsia="宋体" w:cs="宋体"/>
          <w:sz w:val="24"/>
          <w:lang w:eastAsia="zh-CN"/>
        </w:rPr>
        <w:t>单位进行考核，</w:t>
      </w:r>
      <w:r>
        <w:rPr>
          <w:rFonts w:hint="eastAsia" w:ascii="宋体" w:hAnsi="宋体" w:eastAsia="宋体" w:cs="宋体"/>
          <w:sz w:val="24"/>
          <w:lang w:val="en-US" w:eastAsia="zh-CN"/>
        </w:rPr>
        <w:t>合格</w:t>
      </w:r>
      <w:r>
        <w:rPr>
          <w:rFonts w:hint="eastAsia" w:ascii="宋体" w:hAnsi="宋体" w:eastAsia="宋体" w:cs="宋体"/>
          <w:b w:val="0"/>
          <w:bCs w:val="0"/>
          <w:sz w:val="24"/>
          <w:szCs w:val="32"/>
          <w:lang w:val="en-US" w:eastAsia="zh-CN"/>
        </w:rPr>
        <w:t>后合同续签下一年。</w:t>
      </w:r>
    </w:p>
    <w:p>
      <w:pPr>
        <w:numPr>
          <w:ilvl w:val="0"/>
          <w:numId w:val="0"/>
        </w:numPr>
        <w:spacing w:line="360" w:lineRule="auto"/>
        <w:ind w:leftChars="0"/>
        <w:jc w:val="both"/>
        <w:rPr>
          <w:rFonts w:hint="eastAsia" w:ascii="宋体" w:hAnsi="宋体" w:eastAsia="宋体" w:cs="宋体"/>
        </w:rPr>
      </w:pPr>
      <w:r>
        <w:rPr>
          <w:rFonts w:hint="eastAsia" w:ascii="宋体" w:hAnsi="宋体" w:eastAsia="宋体" w:cs="宋体"/>
          <w:sz w:val="28"/>
          <w:szCs w:val="28"/>
          <w:lang w:val="en-US" w:eastAsia="zh-CN"/>
        </w:rPr>
        <w:t>四、</w:t>
      </w:r>
      <w:r>
        <w:rPr>
          <w:rFonts w:hint="eastAsia" w:ascii="宋体" w:hAnsi="宋体" w:eastAsia="宋体" w:cs="宋体"/>
          <w:b/>
          <w:sz w:val="28"/>
          <w:szCs w:val="28"/>
        </w:rPr>
        <w:t>年</w:t>
      </w:r>
      <w:r>
        <w:rPr>
          <w:rFonts w:hint="eastAsia" w:ascii="宋体" w:hAnsi="宋体" w:eastAsia="宋体" w:cs="宋体"/>
          <w:b/>
          <w:sz w:val="28"/>
          <w:szCs w:val="28"/>
          <w:lang w:val="en-US" w:eastAsia="zh-CN"/>
        </w:rPr>
        <w:t>度服务</w:t>
      </w:r>
      <w:r>
        <w:rPr>
          <w:rFonts w:hint="eastAsia" w:ascii="宋体" w:hAnsi="宋体" w:eastAsia="宋体" w:cs="宋体"/>
          <w:b/>
          <w:sz w:val="28"/>
          <w:szCs w:val="28"/>
        </w:rPr>
        <w:t>费用</w:t>
      </w:r>
      <w:r>
        <w:rPr>
          <w:rFonts w:hint="eastAsia" w:ascii="宋体" w:hAnsi="宋体" w:eastAsia="宋体" w:cs="宋体"/>
        </w:rPr>
        <w:t xml:space="preserve"> </w:t>
      </w:r>
    </w:p>
    <w:p>
      <w:pPr>
        <w:spacing w:line="360" w:lineRule="auto"/>
        <w:ind w:firstLine="480"/>
        <w:rPr>
          <w:rFonts w:hint="eastAsia" w:ascii="宋体" w:hAnsi="宋体" w:eastAsia="宋体" w:cs="宋体"/>
          <w:sz w:val="28"/>
          <w:szCs w:val="28"/>
          <w:lang w:val="en-US" w:eastAsia="zh-CN"/>
        </w:rPr>
      </w:pPr>
      <w:r>
        <w:rPr>
          <w:rFonts w:hint="eastAsia" w:ascii="宋体" w:hAnsi="宋体" w:eastAsia="宋体" w:cs="宋体"/>
          <w:sz w:val="24"/>
        </w:rPr>
        <w:t>年度含税服务费用:</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28</w:t>
      </w:r>
      <w:r>
        <w:rPr>
          <w:rFonts w:hint="eastAsia" w:ascii="宋体" w:hAnsi="宋体" w:eastAsia="宋体" w:cs="宋体"/>
          <w:sz w:val="24"/>
          <w:u w:val="single"/>
        </w:rPr>
        <w:t>000.00元/年（大写：</w:t>
      </w:r>
      <w:r>
        <w:rPr>
          <w:rFonts w:hint="eastAsia" w:ascii="宋体" w:hAnsi="宋体" w:eastAsia="宋体" w:cs="宋体"/>
          <w:sz w:val="24"/>
          <w:u w:val="single"/>
          <w:lang w:val="en-US" w:eastAsia="zh-CN"/>
        </w:rPr>
        <w:t>贰万捌</w:t>
      </w:r>
      <w:r>
        <w:rPr>
          <w:rFonts w:hint="eastAsia" w:ascii="宋体" w:hAnsi="宋体" w:eastAsia="宋体" w:cs="宋体"/>
          <w:sz w:val="24"/>
          <w:u w:val="single"/>
        </w:rPr>
        <w:t>仟元整）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CC84D8"/>
    <w:multiLevelType w:val="singleLevel"/>
    <w:tmpl w:val="54CC84D8"/>
    <w:lvl w:ilvl="0" w:tentative="0">
      <w:start w:val="2"/>
      <w:numFmt w:val="chineseCounting"/>
      <w:suff w:val="nothing"/>
      <w:lvlText w:val="%1、"/>
      <w:lvlJc w:val="left"/>
      <w:rPr>
        <w:rFonts w:hint="eastAsia"/>
      </w:rPr>
    </w:lvl>
  </w:abstractNum>
  <w:abstractNum w:abstractNumId="1">
    <w:nsid w:val="5A1FA3AA"/>
    <w:multiLevelType w:val="multilevel"/>
    <w:tmpl w:val="5A1FA3AA"/>
    <w:lvl w:ilvl="0" w:tentative="0">
      <w:start w:val="1"/>
      <w:numFmt w:val="decimal"/>
      <w:pStyle w:val="5"/>
      <w:lvlText w:val="%1."/>
      <w:lvlJc w:val="left"/>
      <w:pPr>
        <w:tabs>
          <w:tab w:val="left" w:pos="1680"/>
        </w:tabs>
        <w:ind w:left="1680" w:hanging="420"/>
      </w:pPr>
    </w:lvl>
    <w:lvl w:ilvl="1" w:tentative="0">
      <w:start w:val="1"/>
      <w:numFmt w:val="lowerLetter"/>
      <w:lvlText w:val="%2)"/>
      <w:lvlJc w:val="left"/>
      <w:pPr>
        <w:tabs>
          <w:tab w:val="left" w:pos="2100"/>
        </w:tabs>
        <w:ind w:left="2100" w:hanging="420"/>
      </w:pPr>
    </w:lvl>
    <w:lvl w:ilvl="2" w:tentative="0">
      <w:start w:val="1"/>
      <w:numFmt w:val="lowerRoman"/>
      <w:lvlText w:val="%3."/>
      <w:lvlJc w:val="right"/>
      <w:pPr>
        <w:tabs>
          <w:tab w:val="left" w:pos="2520"/>
        </w:tabs>
        <w:ind w:left="2520" w:hanging="420"/>
      </w:pPr>
    </w:lvl>
    <w:lvl w:ilvl="3" w:tentative="0">
      <w:start w:val="1"/>
      <w:numFmt w:val="decimal"/>
      <w:lvlText w:val="%4."/>
      <w:lvlJc w:val="left"/>
      <w:pPr>
        <w:tabs>
          <w:tab w:val="left" w:pos="2940"/>
        </w:tabs>
        <w:ind w:left="2940" w:hanging="420"/>
      </w:pPr>
    </w:lvl>
    <w:lvl w:ilvl="4" w:tentative="0">
      <w:start w:val="1"/>
      <w:numFmt w:val="lowerLetter"/>
      <w:lvlText w:val="%5)"/>
      <w:lvlJc w:val="left"/>
      <w:pPr>
        <w:tabs>
          <w:tab w:val="left" w:pos="3360"/>
        </w:tabs>
        <w:ind w:left="3360" w:hanging="420"/>
      </w:pPr>
    </w:lvl>
    <w:lvl w:ilvl="5" w:tentative="0">
      <w:start w:val="1"/>
      <w:numFmt w:val="lowerRoman"/>
      <w:lvlText w:val="%6."/>
      <w:lvlJc w:val="right"/>
      <w:pPr>
        <w:tabs>
          <w:tab w:val="left" w:pos="3780"/>
        </w:tabs>
        <w:ind w:left="3780" w:hanging="420"/>
      </w:pPr>
    </w:lvl>
    <w:lvl w:ilvl="6" w:tentative="0">
      <w:start w:val="1"/>
      <w:numFmt w:val="decimal"/>
      <w:lvlText w:val="%7."/>
      <w:lvlJc w:val="left"/>
      <w:pPr>
        <w:tabs>
          <w:tab w:val="left" w:pos="4200"/>
        </w:tabs>
        <w:ind w:left="4200" w:hanging="420"/>
      </w:pPr>
    </w:lvl>
    <w:lvl w:ilvl="7" w:tentative="0">
      <w:start w:val="1"/>
      <w:numFmt w:val="lowerLetter"/>
      <w:lvlText w:val="%8)"/>
      <w:lvlJc w:val="left"/>
      <w:pPr>
        <w:tabs>
          <w:tab w:val="left" w:pos="4620"/>
        </w:tabs>
        <w:ind w:left="4620" w:hanging="420"/>
      </w:pPr>
    </w:lvl>
    <w:lvl w:ilvl="8" w:tentative="0">
      <w:start w:val="1"/>
      <w:numFmt w:val="lowerRoman"/>
      <w:lvlText w:val="%9."/>
      <w:lvlJc w:val="right"/>
      <w:pPr>
        <w:tabs>
          <w:tab w:val="left" w:pos="5040"/>
        </w:tabs>
        <w:ind w:left="50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wYjQxNzhkMjQ5ZWU2ZTNkYWVjMDM4NmY4ZTY4NWEifQ=="/>
  </w:docVars>
  <w:rsids>
    <w:rsidRoot w:val="00000000"/>
    <w:rsid w:val="1BDC2862"/>
    <w:rsid w:val="38D91FF8"/>
    <w:rsid w:val="429326EC"/>
    <w:rsid w:val="45BB5D1B"/>
    <w:rsid w:val="4FD91B2D"/>
    <w:rsid w:val="63905415"/>
    <w:rsid w:val="798427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